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b/>
          <w:b/>
        </w:rPr>
      </w:pPr>
      <w:r>
        <w:rPr>
          <w:b/>
        </w:rPr>
        <w:t>Retirement the Distribution Phase</w:t>
      </w:r>
    </w:p>
    <w:p>
      <w:pPr>
        <w:pStyle w:val="Normal"/>
        <w:jc w:val="center"/>
        <w:rPr>
          <w:b/>
          <w:b/>
        </w:rPr>
      </w:pPr>
      <w:r>
        <w:rPr>
          <w:b/>
        </w:rPr>
        <w:t>Food for Thought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u w:val="single"/>
        </w:rPr>
      </w:pPr>
      <w:r>
        <w:rPr>
          <w:u w:val="single"/>
        </w:rPr>
        <w:t xml:space="preserve">Objectives:  </w:t>
      </w:r>
    </w:p>
    <w:p>
      <w:pPr>
        <w:pStyle w:val="ListParagraph"/>
        <w:numPr>
          <w:ilvl w:val="0"/>
          <w:numId w:val="1"/>
        </w:numPr>
        <w:rPr/>
      </w:pPr>
      <w:r>
        <w:rPr/>
        <w:t>Avoid experiencing Money Death</w:t>
      </w:r>
    </w:p>
    <w:p>
      <w:pPr>
        <w:pStyle w:val="ListParagraph"/>
        <w:numPr>
          <w:ilvl w:val="0"/>
          <w:numId w:val="1"/>
        </w:numPr>
        <w:rPr/>
      </w:pPr>
      <w:r>
        <w:rPr/>
        <w:t>To maximize your (or your heir’s) spending dollars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u w:val="single"/>
        </w:rPr>
        <w:t>Sources of Income:</w:t>
      </w:r>
      <w:r>
        <w:rPr/>
        <w:t xml:space="preserve"> </w:t>
      </w:r>
    </w:p>
    <w:p>
      <w:pPr>
        <w:pStyle w:val="ListParagraph"/>
        <w:numPr>
          <w:ilvl w:val="0"/>
          <w:numId w:val="2"/>
        </w:numPr>
        <w:rPr/>
      </w:pPr>
      <w:r>
        <w:rPr/>
        <w:t>Social Security</w:t>
      </w:r>
    </w:p>
    <w:p>
      <w:pPr>
        <w:pStyle w:val="ListParagraph"/>
        <w:numPr>
          <w:ilvl w:val="0"/>
          <w:numId w:val="2"/>
        </w:numPr>
        <w:rPr/>
      </w:pPr>
      <w:r>
        <w:rPr/>
        <w:t>IRA’s</w:t>
      </w:r>
    </w:p>
    <w:p>
      <w:pPr>
        <w:pStyle w:val="ListParagraph"/>
        <w:numPr>
          <w:ilvl w:val="0"/>
          <w:numId w:val="2"/>
        </w:numPr>
        <w:rPr/>
      </w:pPr>
      <w:r>
        <w:rPr/>
        <w:t>Roth IRA’s</w:t>
      </w:r>
    </w:p>
    <w:p>
      <w:pPr>
        <w:pStyle w:val="ListParagraph"/>
        <w:numPr>
          <w:ilvl w:val="0"/>
          <w:numId w:val="2"/>
        </w:numPr>
        <w:rPr/>
      </w:pPr>
      <w:r>
        <w:rPr/>
        <w:t>Non-Tax Sheltered Accounts</w:t>
      </w:r>
    </w:p>
    <w:p>
      <w:pPr>
        <w:pStyle w:val="ListParagraph"/>
        <w:numPr>
          <w:ilvl w:val="0"/>
          <w:numId w:val="2"/>
        </w:numPr>
        <w:rPr/>
      </w:pPr>
      <w:r>
        <w:rPr/>
        <w:t>Pensions?</w:t>
      </w:r>
    </w:p>
    <w:p>
      <w:pPr>
        <w:pStyle w:val="ListParagraph"/>
        <w:numPr>
          <w:ilvl w:val="0"/>
          <w:numId w:val="2"/>
        </w:numPr>
        <w:rPr/>
      </w:pPr>
      <w:r>
        <w:rPr/>
        <w:t>Other: Royalties, Business Income, Consulting, etc.</w:t>
      </w:r>
    </w:p>
    <w:p>
      <w:pPr>
        <w:pStyle w:val="Normal"/>
        <w:ind w:left="720" w:hanging="0"/>
        <w:rPr/>
      </w:pPr>
      <w:r>
        <w:rPr/>
      </w:r>
    </w:p>
    <w:p>
      <w:pPr>
        <w:pStyle w:val="Normal"/>
        <w:rPr/>
      </w:pPr>
      <w:r>
        <w:rPr>
          <w:u w:val="single"/>
        </w:rPr>
        <w:t>Paycheck Replacement: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How to go about creating a regular stream of income to support your retirement life style.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before="0" w:after="200"/>
        <w:jc w:val="center"/>
        <w:rPr>
          <w:b/>
          <w:b/>
          <w:bCs/>
          <w:szCs w:val="36"/>
        </w:rPr>
      </w:pPr>
      <w:r>
        <w:rPr>
          <w:b/>
          <w:bCs/>
          <w:szCs w:val="36"/>
        </w:rPr>
        <w:t>2023 Tax Brackets</w:t>
      </w:r>
    </w:p>
    <w:p>
      <w:pPr>
        <w:pStyle w:val="Normal"/>
        <w:pBdr>
          <w:top w:val="single" w:sz="24" w:space="15" w:color="000000"/>
        </w:pBdr>
        <w:spacing w:lineRule="atLeast" w:line="510" w:before="100" w:after="100"/>
        <w:ind w:right="225" w:hanging="0"/>
        <w:rPr>
          <w:rFonts w:eastAsia="Times New Roman" w:cs="Times New Roman"/>
          <w:b/>
          <w:b/>
          <w:bCs/>
          <w:color w:val="3E4855"/>
          <w:szCs w:val="45"/>
        </w:rPr>
      </w:pPr>
      <w:r>
        <w:rPr>
          <w:rFonts w:eastAsia="Times New Roman" w:cs="Times New Roman"/>
          <w:b/>
          <w:bCs/>
          <w:color w:val="3E4855"/>
          <w:szCs w:val="45"/>
        </w:rPr>
        <w:t>For married individuals filing jointly:</w:t>
      </w:r>
    </w:p>
    <w:p>
      <w:pPr>
        <w:pStyle w:val="Normal"/>
        <w:numPr>
          <w:ilvl w:val="0"/>
          <w:numId w:val="3"/>
        </w:numPr>
        <w:spacing w:lineRule="atLeast" w:line="450" w:before="0" w:after="150"/>
        <w:ind w:left="720" w:hanging="195"/>
        <w:rPr>
          <w:rFonts w:eastAsia="Times New Roman" w:cs="Times New Roman"/>
          <w:color w:val="3E4855"/>
          <w:szCs w:val="27"/>
        </w:rPr>
      </w:pPr>
      <w:r>
        <w:rPr>
          <w:rFonts w:eastAsia="Times New Roman" w:cs="Times New Roman"/>
          <w:b/>
          <w:bCs/>
          <w:color w:val="3E4855"/>
          <w:szCs w:val="27"/>
        </w:rPr>
        <w:t>10%:</w:t>
      </w:r>
      <w:r>
        <w:rPr>
          <w:rFonts w:eastAsia="Times New Roman" w:cs="Times New Roman"/>
          <w:color w:val="3E4855"/>
          <w:szCs w:val="27"/>
        </w:rPr>
        <w:t> Taxable income up to $22,000</w:t>
      </w:r>
    </w:p>
    <w:p>
      <w:pPr>
        <w:pStyle w:val="Normal"/>
        <w:numPr>
          <w:ilvl w:val="0"/>
          <w:numId w:val="3"/>
        </w:numPr>
        <w:spacing w:lineRule="atLeast" w:line="450" w:before="0" w:after="150"/>
        <w:ind w:left="720" w:hanging="195"/>
        <w:rPr>
          <w:rFonts w:eastAsia="Times New Roman" w:cs="Times New Roman"/>
          <w:color w:val="3E4855"/>
          <w:szCs w:val="27"/>
        </w:rPr>
      </w:pPr>
      <w:r>
        <w:rPr>
          <w:rFonts w:eastAsia="Times New Roman" w:cs="Times New Roman"/>
          <w:b/>
          <w:bCs/>
          <w:color w:val="3E4855"/>
          <w:szCs w:val="27"/>
        </w:rPr>
        <w:t>12%:</w:t>
      </w:r>
      <w:r>
        <w:rPr>
          <w:rFonts w:eastAsia="Times New Roman" w:cs="Times New Roman"/>
          <w:color w:val="3E4855"/>
          <w:szCs w:val="27"/>
        </w:rPr>
        <w:t> Taxable income between $20,001 to $89,450</w:t>
      </w:r>
    </w:p>
    <w:p>
      <w:pPr>
        <w:pStyle w:val="Normal"/>
        <w:numPr>
          <w:ilvl w:val="0"/>
          <w:numId w:val="3"/>
        </w:numPr>
        <w:spacing w:lineRule="atLeast" w:line="450" w:before="0" w:after="150"/>
        <w:ind w:left="720" w:hanging="195"/>
        <w:rPr>
          <w:rFonts w:eastAsia="Times New Roman" w:cs="Times New Roman"/>
          <w:color w:val="3E4855"/>
          <w:szCs w:val="27"/>
        </w:rPr>
      </w:pPr>
      <w:r>
        <w:rPr>
          <w:rFonts w:eastAsia="Times New Roman" w:cs="Times New Roman"/>
          <w:b/>
          <w:bCs/>
          <w:color w:val="3E4855"/>
          <w:szCs w:val="27"/>
        </w:rPr>
        <w:t>22%:</w:t>
      </w:r>
      <w:r>
        <w:rPr>
          <w:rFonts w:eastAsia="Times New Roman" w:cs="Times New Roman"/>
          <w:color w:val="3E4855"/>
          <w:szCs w:val="27"/>
        </w:rPr>
        <w:t> Taxable income between $89,451 to $190,750</w:t>
      </w:r>
    </w:p>
    <w:p>
      <w:pPr>
        <w:pStyle w:val="Normal"/>
        <w:numPr>
          <w:ilvl w:val="0"/>
          <w:numId w:val="3"/>
        </w:numPr>
        <w:spacing w:lineRule="atLeast" w:line="450" w:before="0" w:after="150"/>
        <w:ind w:left="720" w:hanging="195"/>
        <w:rPr>
          <w:rFonts w:eastAsia="Times New Roman" w:cs="Times New Roman"/>
          <w:color w:val="3E4855"/>
          <w:szCs w:val="27"/>
        </w:rPr>
      </w:pPr>
      <w:r>
        <w:rPr>
          <w:rFonts w:eastAsia="Times New Roman" w:cs="Times New Roman"/>
          <w:b/>
          <w:bCs/>
          <w:color w:val="3E4855"/>
          <w:szCs w:val="27"/>
        </w:rPr>
        <w:t>24%: </w:t>
      </w:r>
      <w:r>
        <w:rPr>
          <w:rFonts w:eastAsia="Times New Roman" w:cs="Times New Roman"/>
          <w:color w:val="3E4855"/>
          <w:szCs w:val="27"/>
        </w:rPr>
        <w:t>Taxable income between $190,751 to $364,200</w:t>
      </w:r>
    </w:p>
    <w:p>
      <w:pPr>
        <w:pStyle w:val="Normal"/>
        <w:numPr>
          <w:ilvl w:val="0"/>
          <w:numId w:val="3"/>
        </w:numPr>
        <w:spacing w:lineRule="atLeast" w:line="450" w:before="0" w:after="150"/>
        <w:ind w:left="720" w:hanging="195"/>
        <w:rPr>
          <w:rFonts w:eastAsia="Times New Roman" w:cs="Times New Roman"/>
          <w:color w:val="3E4855"/>
          <w:szCs w:val="27"/>
        </w:rPr>
      </w:pPr>
      <w:r>
        <w:rPr>
          <w:rFonts w:eastAsia="Times New Roman" w:cs="Times New Roman"/>
          <w:b/>
          <w:bCs/>
          <w:color w:val="3E4855"/>
          <w:szCs w:val="27"/>
        </w:rPr>
        <w:t>32%:</w:t>
      </w:r>
      <w:r>
        <w:rPr>
          <w:rFonts w:eastAsia="Times New Roman" w:cs="Times New Roman"/>
          <w:color w:val="3E4855"/>
          <w:szCs w:val="27"/>
        </w:rPr>
        <w:t> Taxable income between $364,201 to $462,500</w:t>
      </w:r>
    </w:p>
    <w:p>
      <w:pPr>
        <w:pStyle w:val="Normal"/>
        <w:numPr>
          <w:ilvl w:val="0"/>
          <w:numId w:val="3"/>
        </w:numPr>
        <w:spacing w:lineRule="atLeast" w:line="450" w:before="0" w:after="150"/>
        <w:ind w:left="720" w:hanging="195"/>
        <w:rPr>
          <w:rFonts w:eastAsia="Times New Roman" w:cs="Times New Roman"/>
          <w:color w:val="3E4855"/>
          <w:szCs w:val="27"/>
        </w:rPr>
      </w:pPr>
      <w:r>
        <w:rPr>
          <w:rFonts w:eastAsia="Times New Roman" w:cs="Times New Roman"/>
          <w:b/>
          <w:bCs/>
          <w:color w:val="3E4855"/>
          <w:szCs w:val="27"/>
        </w:rPr>
        <w:t>35%: </w:t>
      </w:r>
      <w:r>
        <w:rPr>
          <w:rFonts w:eastAsia="Times New Roman" w:cs="Times New Roman"/>
          <w:color w:val="3E4855"/>
          <w:szCs w:val="27"/>
        </w:rPr>
        <w:t>Taxable income between $462,501 to $693,750</w:t>
      </w:r>
    </w:p>
    <w:p>
      <w:pPr>
        <w:pStyle w:val="Normal"/>
        <w:numPr>
          <w:ilvl w:val="0"/>
          <w:numId w:val="3"/>
        </w:numPr>
        <w:spacing w:lineRule="atLeast" w:line="450" w:before="0" w:after="200"/>
        <w:ind w:left="720" w:hanging="195"/>
        <w:rPr>
          <w:rFonts w:eastAsia="Times New Roman" w:cs="Times New Roman"/>
          <w:color w:val="3E4855"/>
          <w:szCs w:val="27"/>
        </w:rPr>
      </w:pPr>
      <w:r>
        <w:rPr>
          <w:rFonts w:eastAsia="Times New Roman" w:cs="Times New Roman"/>
          <w:b/>
          <w:bCs/>
          <w:color w:val="3E4855"/>
          <w:szCs w:val="27"/>
        </w:rPr>
        <w:t>37%:</w:t>
      </w:r>
      <w:r>
        <w:rPr>
          <w:rFonts w:eastAsia="Times New Roman" w:cs="Times New Roman"/>
          <w:color w:val="3E4855"/>
          <w:szCs w:val="27"/>
        </w:rPr>
        <w:t> Taxable income over $647,850</w:t>
      </w:r>
    </w:p>
    <w:p>
      <w:pPr>
        <w:pStyle w:val="Normal"/>
        <w:spacing w:before="0" w:after="200"/>
        <w:rPr/>
      </w:pPr>
      <w:r>
        <w:rPr/>
      </w:r>
    </w:p>
    <w:p>
      <w:pPr>
        <w:pStyle w:val="Normal"/>
        <w:pBdr>
          <w:top w:val="single" w:sz="24" w:space="15" w:color="000000"/>
        </w:pBdr>
        <w:spacing w:lineRule="atLeast" w:line="510" w:before="100" w:after="100"/>
        <w:ind w:right="225" w:hanging="0"/>
        <w:rPr>
          <w:rFonts w:eastAsia="Times New Roman" w:cs="Times New Roman"/>
          <w:b/>
          <w:b/>
          <w:bCs/>
          <w:color w:val="3E4855"/>
          <w:szCs w:val="45"/>
        </w:rPr>
      </w:pPr>
      <w:r>
        <w:rPr>
          <w:rFonts w:eastAsia="Times New Roman" w:cs="Times New Roman"/>
          <w:b/>
          <w:bCs/>
          <w:color w:val="3E4855"/>
          <w:szCs w:val="45"/>
        </w:rPr>
        <w:t>For individual single taxpayers:</w:t>
      </w:r>
    </w:p>
    <w:p>
      <w:pPr>
        <w:pStyle w:val="Normal"/>
        <w:numPr>
          <w:ilvl w:val="0"/>
          <w:numId w:val="4"/>
        </w:numPr>
        <w:spacing w:lineRule="atLeast" w:line="450" w:before="0" w:after="150"/>
        <w:ind w:left="720" w:hanging="195"/>
        <w:rPr>
          <w:rFonts w:eastAsia="Times New Roman" w:cs="Times New Roman"/>
          <w:color w:val="3E4855"/>
          <w:szCs w:val="27"/>
        </w:rPr>
      </w:pPr>
      <w:r>
        <w:rPr>
          <w:rFonts w:eastAsia="Times New Roman" w:cs="Times New Roman"/>
          <w:b/>
          <w:bCs/>
          <w:color w:val="3E4855"/>
          <w:szCs w:val="27"/>
        </w:rPr>
        <w:t>10%: </w:t>
      </w:r>
      <w:r>
        <w:rPr>
          <w:rFonts w:eastAsia="Times New Roman" w:cs="Times New Roman"/>
          <w:color w:val="3E4855"/>
          <w:szCs w:val="27"/>
        </w:rPr>
        <w:t>Taxable income up to $11,000</w:t>
      </w:r>
    </w:p>
    <w:p>
      <w:pPr>
        <w:pStyle w:val="Normal"/>
        <w:numPr>
          <w:ilvl w:val="0"/>
          <w:numId w:val="4"/>
        </w:numPr>
        <w:spacing w:lineRule="atLeast" w:line="450" w:before="0" w:after="150"/>
        <w:ind w:left="720" w:hanging="195"/>
        <w:rPr>
          <w:rFonts w:eastAsia="Times New Roman" w:cs="Times New Roman"/>
          <w:color w:val="3E4855"/>
          <w:szCs w:val="27"/>
        </w:rPr>
      </w:pPr>
      <w:r>
        <w:rPr>
          <w:rFonts w:eastAsia="Times New Roman" w:cs="Times New Roman"/>
          <w:b/>
          <w:bCs/>
          <w:color w:val="3E4855"/>
          <w:szCs w:val="27"/>
        </w:rPr>
        <w:t>12%:</w:t>
      </w:r>
      <w:r>
        <w:rPr>
          <w:rFonts w:eastAsia="Times New Roman" w:cs="Times New Roman"/>
          <w:color w:val="3E4855"/>
          <w:szCs w:val="27"/>
        </w:rPr>
        <w:t> Taxable income between $11,001 to $44,725</w:t>
      </w:r>
    </w:p>
    <w:p>
      <w:pPr>
        <w:pStyle w:val="Normal"/>
        <w:numPr>
          <w:ilvl w:val="0"/>
          <w:numId w:val="4"/>
        </w:numPr>
        <w:spacing w:lineRule="atLeast" w:line="450" w:before="0" w:after="150"/>
        <w:ind w:left="720" w:hanging="195"/>
        <w:rPr>
          <w:rFonts w:eastAsia="Times New Roman" w:cs="Times New Roman"/>
          <w:color w:val="3E4855"/>
          <w:szCs w:val="27"/>
        </w:rPr>
      </w:pPr>
      <w:r>
        <w:rPr>
          <w:rFonts w:eastAsia="Times New Roman" w:cs="Times New Roman"/>
          <w:b/>
          <w:bCs/>
          <w:color w:val="3E4855"/>
          <w:szCs w:val="27"/>
        </w:rPr>
        <w:t>22%:</w:t>
      </w:r>
      <w:r>
        <w:rPr>
          <w:rFonts w:eastAsia="Times New Roman" w:cs="Times New Roman"/>
          <w:color w:val="3E4855"/>
          <w:szCs w:val="27"/>
        </w:rPr>
        <w:t> Taxable income between $44,726 to $95,375 </w:t>
      </w:r>
    </w:p>
    <w:p>
      <w:pPr>
        <w:pStyle w:val="Normal"/>
        <w:numPr>
          <w:ilvl w:val="0"/>
          <w:numId w:val="4"/>
        </w:numPr>
        <w:spacing w:lineRule="atLeast" w:line="450" w:before="0" w:after="150"/>
        <w:ind w:left="720" w:hanging="195"/>
        <w:rPr>
          <w:rFonts w:eastAsia="Times New Roman" w:cs="Times New Roman"/>
          <w:color w:val="3E4855"/>
          <w:szCs w:val="27"/>
        </w:rPr>
      </w:pPr>
      <w:r>
        <w:rPr>
          <w:rFonts w:eastAsia="Times New Roman" w:cs="Times New Roman"/>
          <w:b/>
          <w:bCs/>
          <w:color w:val="3E4855"/>
          <w:szCs w:val="27"/>
        </w:rPr>
        <w:t>24%: </w:t>
      </w:r>
      <w:r>
        <w:rPr>
          <w:rFonts w:eastAsia="Times New Roman" w:cs="Times New Roman"/>
          <w:color w:val="3E4855"/>
          <w:szCs w:val="27"/>
        </w:rPr>
        <w:t>Taxable income between</w:t>
      </w:r>
      <w:r>
        <w:rPr>
          <w:rFonts w:eastAsia="Times New Roman" w:cs="Times New Roman"/>
          <w:b/>
          <w:bCs/>
          <w:color w:val="3E4855"/>
          <w:szCs w:val="27"/>
        </w:rPr>
        <w:t> </w:t>
      </w:r>
      <w:r>
        <w:rPr>
          <w:rFonts w:eastAsia="Times New Roman" w:cs="Times New Roman"/>
          <w:color w:val="3E4855"/>
          <w:szCs w:val="27"/>
        </w:rPr>
        <w:t>$95,376 to $182,100 </w:t>
      </w:r>
    </w:p>
    <w:p>
      <w:pPr>
        <w:pStyle w:val="Normal"/>
        <w:numPr>
          <w:ilvl w:val="0"/>
          <w:numId w:val="4"/>
        </w:numPr>
        <w:spacing w:lineRule="atLeast" w:line="450" w:before="0" w:after="150"/>
        <w:ind w:left="720" w:hanging="195"/>
        <w:rPr>
          <w:rFonts w:eastAsia="Times New Roman" w:cs="Times New Roman"/>
          <w:color w:val="3E4855"/>
          <w:szCs w:val="27"/>
        </w:rPr>
      </w:pPr>
      <w:r>
        <w:rPr>
          <w:rFonts w:eastAsia="Times New Roman" w:cs="Times New Roman"/>
          <w:b/>
          <w:bCs/>
          <w:color w:val="3E4855"/>
          <w:szCs w:val="27"/>
        </w:rPr>
        <w:t>32% </w:t>
      </w:r>
      <w:r>
        <w:rPr>
          <w:rFonts w:eastAsia="Times New Roman" w:cs="Times New Roman"/>
          <w:color w:val="3E4855"/>
          <w:szCs w:val="27"/>
        </w:rPr>
        <w:t>Taxable income between $182,101 to $231,250</w:t>
      </w:r>
    </w:p>
    <w:p>
      <w:pPr>
        <w:pStyle w:val="Normal"/>
        <w:numPr>
          <w:ilvl w:val="0"/>
          <w:numId w:val="4"/>
        </w:numPr>
        <w:spacing w:lineRule="atLeast" w:line="450" w:before="0" w:after="150"/>
        <w:ind w:left="720" w:hanging="195"/>
        <w:rPr>
          <w:rFonts w:eastAsia="Times New Roman" w:cs="Times New Roman"/>
          <w:color w:val="3E4855"/>
          <w:szCs w:val="27"/>
        </w:rPr>
      </w:pPr>
      <w:r>
        <w:rPr>
          <w:rFonts w:eastAsia="Times New Roman" w:cs="Times New Roman"/>
          <w:b/>
          <w:bCs/>
          <w:color w:val="3E4855"/>
          <w:szCs w:val="27"/>
        </w:rPr>
        <w:t>35%:</w:t>
      </w:r>
      <w:r>
        <w:rPr>
          <w:rFonts w:eastAsia="Times New Roman" w:cs="Times New Roman"/>
          <w:color w:val="3E4855"/>
          <w:szCs w:val="27"/>
        </w:rPr>
        <w:t> Taxable income between $231,251 to $578,125</w:t>
      </w:r>
    </w:p>
    <w:p>
      <w:pPr>
        <w:pStyle w:val="Normal"/>
        <w:numPr>
          <w:ilvl w:val="0"/>
          <w:numId w:val="4"/>
        </w:numPr>
        <w:spacing w:lineRule="atLeast" w:line="450" w:before="0" w:after="200"/>
        <w:ind w:left="720" w:hanging="195"/>
        <w:rPr>
          <w:rFonts w:eastAsia="Times New Roman" w:cs="Times New Roman"/>
          <w:color w:val="3E4855"/>
          <w:szCs w:val="27"/>
        </w:rPr>
      </w:pPr>
      <w:r>
        <w:rPr>
          <w:rFonts w:eastAsia="Times New Roman" w:cs="Times New Roman"/>
          <w:b/>
          <w:bCs/>
          <w:color w:val="3E4855"/>
          <w:szCs w:val="27"/>
        </w:rPr>
        <w:t>37%: </w:t>
      </w:r>
      <w:r>
        <w:rPr>
          <w:rFonts w:eastAsia="Times New Roman" w:cs="Times New Roman"/>
          <w:color w:val="3E4855"/>
          <w:szCs w:val="27"/>
        </w:rPr>
        <w:t>Taxable income over $578,125</w:t>
      </w:r>
    </w:p>
    <w:p>
      <w:pPr>
        <w:pStyle w:val="Normal"/>
        <w:spacing w:before="0" w:after="200"/>
        <w:rPr/>
      </w:pPr>
      <w:r>
        <w:rPr/>
      </w:r>
    </w:p>
    <w:p>
      <w:pPr>
        <w:pStyle w:val="Normal"/>
        <w:spacing w:lineRule="auto" w:line="240" w:before="100" w:after="100"/>
        <w:rPr>
          <w:rFonts w:eastAsia="Times New Roman" w:cs="Times New Roman"/>
          <w:color w:val="3E4855"/>
          <w:szCs w:val="27"/>
        </w:rPr>
      </w:pPr>
      <w:r>
        <w:rPr>
          <w:rFonts w:eastAsia="Times New Roman" w:cs="Times New Roman"/>
          <w:color w:val="3E4855"/>
          <w:szCs w:val="27"/>
        </w:rPr>
        <w:t>The IRS also announced that the standard deduction for 2022 was increased to the following:</w:t>
      </w:r>
    </w:p>
    <w:p>
      <w:pPr>
        <w:pStyle w:val="Normal"/>
        <w:numPr>
          <w:ilvl w:val="0"/>
          <w:numId w:val="5"/>
        </w:numPr>
        <w:spacing w:lineRule="atLeast" w:line="450" w:before="0" w:after="150"/>
        <w:ind w:left="720" w:hanging="195"/>
        <w:rPr>
          <w:rFonts w:eastAsia="Times New Roman" w:cs="Times New Roman"/>
          <w:color w:val="3E4855"/>
          <w:szCs w:val="27"/>
        </w:rPr>
      </w:pPr>
      <w:r>
        <w:rPr>
          <w:rFonts w:eastAsia="Times New Roman" w:cs="Times New Roman"/>
          <w:b/>
          <w:bCs/>
          <w:color w:val="3E4855"/>
          <w:szCs w:val="27"/>
        </w:rPr>
        <w:t>Married couples filing jointly</w:t>
      </w:r>
      <w:r>
        <w:rPr>
          <w:rFonts w:eastAsia="Times New Roman" w:cs="Times New Roman"/>
          <w:color w:val="3E4855"/>
          <w:szCs w:val="27"/>
        </w:rPr>
        <w:t>: $27,700</w:t>
      </w:r>
    </w:p>
    <w:p>
      <w:pPr>
        <w:pStyle w:val="Normal"/>
        <w:numPr>
          <w:ilvl w:val="0"/>
          <w:numId w:val="5"/>
        </w:numPr>
        <w:spacing w:lineRule="atLeast" w:line="450" w:before="0" w:after="150"/>
        <w:ind w:left="720" w:hanging="195"/>
        <w:rPr>
          <w:rFonts w:eastAsia="Times New Roman" w:cs="Times New Roman"/>
          <w:color w:val="3E4855"/>
          <w:szCs w:val="27"/>
        </w:rPr>
      </w:pPr>
      <w:r>
        <w:rPr>
          <w:rFonts w:eastAsia="Times New Roman" w:cs="Times New Roman"/>
          <w:b/>
          <w:bCs/>
          <w:color w:val="3E4855"/>
          <w:szCs w:val="27"/>
        </w:rPr>
        <w:t>Single taxpayers and married individuals filing separately</w:t>
      </w:r>
      <w:r>
        <w:rPr>
          <w:rFonts w:eastAsia="Times New Roman" w:cs="Times New Roman"/>
          <w:color w:val="3E4855"/>
          <w:szCs w:val="27"/>
        </w:rPr>
        <w:t>: $13,850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Knowing current tax law and a household’s annual spending plan, one can attempt to plan their distributions to minimize tax with a goal of maximizing their net income.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color w:val="FF0000"/>
        </w:rPr>
        <w:t>The trick is to look at the whole picture</w:t>
      </w:r>
      <w:r>
        <w:rPr/>
        <w:t>, not just this year or next.  If your household is adequately funded and you attempt to minimize taxes annually in the early retirement years, RMD’s could be a tax bomb later is retirement.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Managing your taxable income through the years can also help prevent having to pay increased Medicare premiums.  Below are the 2022 income numbers and the Medicare surcharges for medicare part B also known</w:t>
      </w:r>
      <w:bookmarkStart w:id="0" w:name="_GoBack"/>
      <w:bookmarkEnd w:id="0"/>
      <w:r>
        <w:rPr/>
        <w:t xml:space="preserve"> as income related monthly adjusted amount (IRMAA). Similar surcharges are added to your Part D medicare. The income limits are your modified adjusted gross income or MAGI which is usually higher than your adjusted gross income.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Social Security Tax income cap:</w:t>
        <w:tab/>
        <w:t>$160,200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inline distT="0" distB="0" distL="0" distR="0">
            <wp:extent cx="5943600" cy="2628265"/>
            <wp:effectExtent l="0" t="0" r="0" b="0"/>
            <wp:docPr id="1" name="Picture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2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The distribution phase is a chess game in that you should always being looking multiple moves ahead.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REQUIRED MINIMUM DISTRIBUTIONS</w:t>
      </w:r>
    </w:p>
    <w:p>
      <w:pPr>
        <w:pStyle w:val="Normal"/>
        <w:jc w:val="center"/>
        <w:rPr/>
      </w:pPr>
      <w:r>
        <w:rPr/>
        <w:t>AT VARIOUS AGES</w:t>
      </w:r>
    </w:p>
    <w:p>
      <w:pPr>
        <w:pStyle w:val="Normal"/>
        <w:jc w:val="left"/>
        <w:rPr/>
      </w:pPr>
      <w:r>
        <w:rPr/>
        <w:tab/>
        <w:tab/>
        <w:tab/>
      </w:r>
    </w:p>
    <w:p>
      <w:pPr>
        <w:pStyle w:val="Normal"/>
        <w:jc w:val="left"/>
        <w:rPr/>
      </w:pPr>
      <w:r>
        <w:rPr/>
        <w:tab/>
        <w:tab/>
        <w:tab/>
        <w:tab/>
        <w:t>73</w:t>
        <w:tab/>
        <w:tab/>
        <w:tab/>
        <w:tab/>
        <w:t>3.8%</w:t>
      </w:r>
    </w:p>
    <w:p>
      <w:pPr>
        <w:pStyle w:val="Normal"/>
        <w:jc w:val="left"/>
        <w:rPr/>
      </w:pPr>
      <w:r>
        <w:rPr/>
        <w:tab/>
        <w:tab/>
        <w:tab/>
        <w:tab/>
        <w:t>75</w:t>
        <w:tab/>
        <w:tab/>
        <w:tab/>
        <w:tab/>
        <w:t>4.1%</w:t>
      </w:r>
    </w:p>
    <w:p>
      <w:pPr>
        <w:pStyle w:val="Normal"/>
        <w:jc w:val="left"/>
        <w:rPr/>
      </w:pPr>
      <w:r>
        <w:rPr/>
        <w:tab/>
        <w:tab/>
        <w:tab/>
        <w:tab/>
        <w:t>80</w:t>
        <w:tab/>
        <w:tab/>
        <w:tab/>
        <w:tab/>
        <w:t>4.95%</w:t>
        <w:tab/>
        <w:tab/>
        <w:tab/>
      </w:r>
    </w:p>
    <w:p>
      <w:pPr>
        <w:pStyle w:val="Normal"/>
        <w:jc w:val="left"/>
        <w:rPr/>
      </w:pPr>
      <w:r>
        <w:rPr/>
        <w:tab/>
        <w:tab/>
        <w:tab/>
        <w:tab/>
        <w:t>85</w:t>
        <w:tab/>
        <w:tab/>
        <w:tab/>
        <w:tab/>
        <w:t>6.3%</w:t>
      </w:r>
    </w:p>
    <w:p>
      <w:pPr>
        <w:pStyle w:val="Normal"/>
        <w:jc w:val="left"/>
        <w:rPr/>
      </w:pPr>
      <w:r>
        <w:rPr/>
        <w:tab/>
        <w:tab/>
        <w:tab/>
        <w:tab/>
        <w:t>90</w:t>
        <w:tab/>
        <w:tab/>
        <w:tab/>
        <w:tab/>
        <w:t>8.2%</w:t>
      </w:r>
    </w:p>
    <w:p>
      <w:pPr>
        <w:pStyle w:val="Normal"/>
        <w:jc w:val="left"/>
        <w:rPr/>
      </w:pPr>
      <w:r>
        <w:rPr/>
        <w:tab/>
        <w:tab/>
        <w:tab/>
        <w:tab/>
        <w:t>95</w:t>
        <w:tab/>
        <w:tab/>
        <w:tab/>
        <w:tab/>
        <w:t>11.2%</w:t>
      </w:r>
    </w:p>
    <w:sectPr>
      <w:type w:val="nextPage"/>
      <w:pgSz w:w="12240" w:h="15840"/>
      <w:pgMar w:left="1440" w:right="1440" w:gutter="0" w:header="0" w:top="1440" w:footer="0" w:bottom="144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swiss"/>
    <w:pitch w:val="default"/>
  </w:font>
  <w:font w:name="Cambria">
    <w:charset w:val="01"/>
    <w:family w:val="swiss"/>
    <w:pitch w:val="default"/>
  </w:font>
  <w:font w:name="Courier New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val="bestFit" w:percent="148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99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Calibri" w:cs="Arial" w:eastAsiaTheme="minorHAnsi"/>
      <w:color w:val="auto"/>
      <w:kern w:val="0"/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 w:val="true"/>
      <w:keepLines/>
      <w:spacing w:before="480" w:after="0"/>
    </w:pPr>
    <w:rPr>
      <w:rFonts w:ascii="Cambria" w:hAnsi="Cambria" w:eastAsia="" w:cs=""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 w:val="true"/>
      <w:keepLines/>
      <w:spacing w:before="200" w:after="0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 w:val="true"/>
      <w:keepLines/>
      <w:spacing w:before="200" w:after="0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 w:val="true"/>
      <w:keepLines/>
      <w:spacing w:before="200" w:after="0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 w:val="true"/>
      <w:keepLines/>
      <w:spacing w:before="200" w:after="0"/>
    </w:pPr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 w:val="true"/>
      <w:keepLines/>
      <w:spacing w:before="200" w:after="0"/>
    </w:pPr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 w:val="true"/>
      <w:keepLines/>
      <w:spacing w:before="200" w:after="0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 w:val="true"/>
      <w:keepLines/>
      <w:spacing w:before="200" w:after="0"/>
    </w:pPr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 w:val="true"/>
      <w:keepLines/>
      <w:spacing w:before="200" w:after="0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Heading1Char" w:customStyle="1">
    <w:name w:val="Heading 1 Char"/>
    <w:basedOn w:val="DefaultParagraphFont"/>
    <w:link w:val="Heading1"/>
    <w:uiPriority w:val="9"/>
    <w:qFormat/>
    <w:rPr>
      <w:rFonts w:ascii="Cambria" w:hAnsi="Cambria" w:eastAsia="" w:cs=""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qFormat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/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Heading4Char" w:customStyle="1">
    <w:name w:val="Heading 4 Char"/>
    <w:basedOn w:val="DefaultParagraphFont"/>
    <w:link w:val="Heading4"/>
    <w:uiPriority w:val="9"/>
    <w:qFormat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Heading5Char" w:customStyle="1">
    <w:name w:val="Heading 5 Char"/>
    <w:basedOn w:val="DefaultParagraphFont"/>
    <w:link w:val="Heading5"/>
    <w:uiPriority w:val="9"/>
    <w:qFormat/>
    <w:rPr>
      <w:rFonts w:ascii="Cambria" w:hAnsi="Cambria" w:eastAsia="" w:cs="" w:asciiTheme="majorHAnsi" w:cstheme="majorBidi" w:eastAsiaTheme="majorEastAsia" w:hAnsiTheme="majorHAnsi"/>
      <w:color w:val="243F60" w:themeColor="accent1" w:themeShade="7f"/>
    </w:rPr>
  </w:style>
  <w:style w:type="character" w:styleId="Heading6Char" w:customStyle="1">
    <w:name w:val="Heading 6 Char"/>
    <w:basedOn w:val="DefaultParagraphFont"/>
    <w:link w:val="Heading6"/>
    <w:uiPriority w:val="9"/>
    <w:qFormat/>
    <w:rPr>
      <w:rFonts w:ascii="Cambria" w:hAnsi="Cambria" w:eastAsia="" w:cs="" w:asciiTheme="majorHAnsi" w:cstheme="majorBidi" w:eastAsiaTheme="majorEastAsia" w:hAnsiTheme="majorHAnsi"/>
      <w:i/>
      <w:iCs/>
      <w:color w:val="243F60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qFormat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Heading8Char" w:customStyle="1">
    <w:name w:val="Heading 8 Char"/>
    <w:basedOn w:val="DefaultParagraphFont"/>
    <w:link w:val="Heading8"/>
    <w:uiPriority w:val="9"/>
    <w:qFormat/>
    <w:rPr>
      <w:rFonts w:ascii="Cambria" w:hAnsi="Cambria" w:eastAsia="" w:cs=""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styleId="Heading9Char" w:customStyle="1">
    <w:name w:val="Heading 9 Char"/>
    <w:basedOn w:val="DefaultParagraphFont"/>
    <w:link w:val="Heading9"/>
    <w:uiPriority w:val="9"/>
    <w:qFormat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styleId="TitleChar" w:customStyle="1">
    <w:name w:val="Title Char"/>
    <w:basedOn w:val="DefaultParagraphFont"/>
    <w:link w:val="Title"/>
    <w:uiPriority w:val="10"/>
    <w:qFormat/>
    <w:rPr>
      <w:rFonts w:ascii="Cambria" w:hAnsi="Cambria" w:eastAsia="" w:cs=""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styleId="SubtitleChar" w:customStyle="1">
    <w:name w:val="Subtitle Char"/>
    <w:basedOn w:val="DefaultParagraphFont"/>
    <w:link w:val="Subtitle"/>
    <w:uiPriority w:val="11"/>
    <w:qFormat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QuoteChar" w:customStyle="1">
    <w:name w:val="Quote Char"/>
    <w:basedOn w:val="DefaultParagraphFont"/>
    <w:link w:val="Quote"/>
    <w:uiPriority w:val="29"/>
    <w:qFormat/>
    <w:rPr>
      <w:i/>
      <w:iCs/>
      <w:color w:val="000000" w:themeColor="text1"/>
    </w:rPr>
  </w:style>
  <w:style w:type="character" w:styleId="IntenseQuoteChar" w:customStyle="1">
    <w:name w:val="Intense Quote Char"/>
    <w:basedOn w:val="DefaultParagraphFont"/>
    <w:link w:val="IntenseQuote"/>
    <w:uiPriority w:val="30"/>
    <w:qFormat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Pr>
      <w:sz w:val="20"/>
      <w:szCs w:val="20"/>
    </w:rPr>
  </w:style>
  <w:style w:type="character" w:styleId="FootnoteCharacters">
    <w:name w:val="Footnote Characters"/>
    <w:qFormat/>
    <w:rPr>
      <w:vertAlign w:val="superscript"/>
    </w:rPr>
  </w:style>
  <w:style w:type="character" w:styleId="FootnoteAnchor">
    <w:name w:val="Footnote Reference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rPr>
      <w:sz w:val="20"/>
      <w:szCs w:val="20"/>
    </w:rPr>
  </w:style>
  <w:style w:type="character" w:styleId="EndnoteCharacters">
    <w:name w:val="Endnote Characters"/>
    <w:qFormat/>
    <w:rPr>
      <w:vertAlign w:val="superscript"/>
    </w:rPr>
  </w:style>
  <w:style w:type="character" w:styleId="EndnoteAnchor">
    <w:name w:val="Endnote Reference"/>
    <w:rPr>
      <w:vertAlign w:val="superscript"/>
    </w:rPr>
  </w:style>
  <w:style w:type="character" w:styleId="Endnotereference">
    <w:name w:val="Endnote reference"/>
    <w:basedOn w:val="DefaultParagraphFont"/>
    <w:uiPriority w:val="99"/>
    <w:semiHidden/>
    <w:unhideWhenUsed/>
    <w:qFormat/>
    <w:rPr>
      <w:vertAlign w:val="superscript"/>
    </w:rPr>
  </w:style>
  <w:style w:type="character" w:styleId="Internet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PlainTextChar" w:customStyle="1">
    <w:name w:val="Plain Text Char"/>
    <w:basedOn w:val="DefaultParagraphFont"/>
    <w:link w:val="PlainText"/>
    <w:uiPriority w:val="99"/>
    <w:qFormat/>
    <w:rPr>
      <w:rFonts w:ascii="Courier New" w:hAnsi="Courier New" w:cs="Courier New"/>
      <w:sz w:val="21"/>
      <w:szCs w:val="21"/>
    </w:rPr>
  </w:style>
  <w:style w:type="character" w:styleId="HeaderChar" w:customStyle="1">
    <w:name w:val="Header Char"/>
    <w:basedOn w:val="DefaultParagraphFont"/>
    <w:link w:val="Header"/>
    <w:uiPriority w:val="99"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Arial" w:hAnsi="Arial" w:eastAsia="Calibri" w:cs="Arial" w:eastAsiaTheme="minorHAnsi"/>
      <w:color w:val="auto"/>
      <w:kern w:val="0"/>
      <w:sz w:val="22"/>
      <w:szCs w:val="22"/>
      <w:lang w:val="en-US" w:eastAsia="en-US" w:bidi="ar-SA"/>
    </w:rPr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/>
    <w:rPr>
      <w:rFonts w:ascii="Cambria" w:hAnsi="Cambria" w:eastAsia="" w:cs=""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/>
      </w:pBdr>
      <w:spacing w:before="200" w:after="280"/>
      <w:ind w:left="936" w:right="936" w:hanging="0"/>
    </w:pPr>
    <w:rPr>
      <w:b/>
      <w:bCs/>
      <w:i/>
      <w:iCs/>
      <w:color w:val="4F81BD" w:themeColor="accent1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lineRule="auto" w:line="240" w:before="0" w:after="0"/>
    </w:pPr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pPr>
      <w:spacing w:lineRule="auto" w:line="240" w:before="0" w:after="0"/>
    </w:pPr>
    <w:rPr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pPr>
      <w:spacing w:lineRule="auto" w:line="240" w:before="0" w:after="0"/>
    </w:pPr>
    <w:rPr>
      <w:rFonts w:ascii="Courier New" w:hAnsi="Courier New" w:cs="Courier New"/>
      <w:sz w:val="21"/>
      <w:szCs w:val="21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unhideWhenUsed/>
    <w:pPr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pPr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Application>LibreOffice/7.4.1.2$Windows_X86_64 LibreOffice_project/3c58a8f3a960df8bc8fd77b461821e42c061c5f0</Application>
  <AppVersion>15.0000</AppVersion>
  <Pages>3</Pages>
  <Words>392</Words>
  <Characters>2042</Characters>
  <CharactersWithSpaces>2418</CharactersWithSpaces>
  <Paragraphs>49</Paragraphs>
  <Company>USNRC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Shaffer, Steve</dc:creator>
  <dc:description/>
  <dc:language>en-US</dc:language>
  <cp:lastModifiedBy/>
  <dcterms:modified xsi:type="dcterms:W3CDTF">2023-02-23T18:56:57Z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